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994"/>
        <w:tblW w:w="1572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3"/>
        <w:gridCol w:w="992"/>
        <w:gridCol w:w="6"/>
        <w:gridCol w:w="1039"/>
        <w:gridCol w:w="764"/>
        <w:gridCol w:w="4678"/>
        <w:gridCol w:w="4400"/>
        <w:gridCol w:w="2853"/>
      </w:tblGrid>
      <w:tr w:rsidR="00AA36A3" w:rsidRPr="00075D31" w:rsidTr="00B400D4">
        <w:trPr>
          <w:trHeight w:hRule="exact" w:val="454"/>
        </w:trPr>
        <w:tc>
          <w:tcPr>
            <w:tcW w:w="128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AA36A3" w:rsidRPr="00B64F27" w:rsidRDefault="00AA36A3" w:rsidP="00B400D4">
            <w:pPr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 w:rsidRPr="00B64F27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SEZIONE A</w:t>
            </w:r>
            <w:r w:rsidRPr="00B64F27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:  </w:t>
            </w:r>
            <w:r w:rsidRPr="00B64F27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AA36A3" w:rsidRPr="00B64F27" w:rsidRDefault="00AA36A3" w:rsidP="00B400D4">
            <w:pPr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</w:pPr>
            <w:r w:rsidRPr="00B64F27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 xml:space="preserve">            Scuola Sec. II grado</w:t>
            </w:r>
          </w:p>
        </w:tc>
      </w:tr>
      <w:tr w:rsidR="00075D31" w:rsidRPr="00075D31" w:rsidTr="00B400D4">
        <w:trPr>
          <w:trHeight w:hRule="exact" w:val="454"/>
        </w:trPr>
        <w:tc>
          <w:tcPr>
            <w:tcW w:w="3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B64F27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B64F27">
              <w:rPr>
                <w:rFonts w:asciiTheme="majorHAnsi" w:eastAsia="Arial Narrow" w:hAnsiTheme="majorHAnsi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</w:t>
            </w:r>
            <w:r w:rsidRPr="00B64F27">
              <w:rPr>
                <w:rFonts w:asciiTheme="majorHAnsi" w:eastAsia="Calibri" w:hAnsiTheme="majorHAnsi" w:cs="Arial"/>
                <w:i/>
                <w:sz w:val="24"/>
                <w:szCs w:val="24"/>
              </w:rPr>
              <w:t xml:space="preserve"> VALORIZZAZIONE DELLE ATTIVITA’ PRODUTTIVE E LEGISLAZIONE DI SETORE</w:t>
            </w:r>
          </w:p>
        </w:tc>
      </w:tr>
      <w:tr w:rsidR="00075D31" w:rsidRPr="00075D31" w:rsidTr="00B64F27">
        <w:trPr>
          <w:trHeight w:hRule="exact" w:val="794"/>
        </w:trPr>
        <w:tc>
          <w:tcPr>
            <w:tcW w:w="3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  <w:r w:rsidRPr="00B64F27">
              <w:rPr>
                <w:rFonts w:asciiTheme="majorHAnsi" w:eastAsia="Calibri" w:hAnsiTheme="majorHAns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6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5D31" w:rsidRPr="00B64F27" w:rsidRDefault="00075D31" w:rsidP="00B400D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="Arial"/>
                <w:i/>
                <w:iCs/>
                <w:sz w:val="24"/>
                <w:szCs w:val="24"/>
              </w:rPr>
            </w:pPr>
            <w:r w:rsidRPr="00B64F27">
              <w:rPr>
                <w:rFonts w:asciiTheme="majorHAnsi" w:eastAsia="Calibri" w:hAnsiTheme="majorHAnsi" w:cs="Times New Roman"/>
                <w:sz w:val="24"/>
                <w:szCs w:val="24"/>
              </w:rPr>
              <w:t>Competenze di base in Scienze e Tecnologia (</w:t>
            </w:r>
            <w:r w:rsidRPr="00B64F27">
              <w:rPr>
                <w:rFonts w:asciiTheme="majorHAnsi" w:eastAsia="Calibri" w:hAnsiTheme="majorHAnsi" w:cs="Arial"/>
                <w:i/>
                <w:iCs/>
                <w:sz w:val="24"/>
                <w:szCs w:val="24"/>
              </w:rPr>
              <w:t>acquisire e interpretare l’informazione/Individuare collegamenti e relazioni/Risolvere problemi)</w:t>
            </w:r>
          </w:p>
          <w:p w:rsidR="00075D31" w:rsidRPr="00B64F27" w:rsidRDefault="00075D31" w:rsidP="00B400D4">
            <w:pPr>
              <w:rPr>
                <w:rFonts w:asciiTheme="majorHAnsi" w:eastAsia="Times New Roman" w:hAnsiTheme="majorHAnsi" w:cs="Times New Roman"/>
                <w:sz w:val="24"/>
                <w:szCs w:val="24"/>
                <w:lang w:eastAsia="it-IT"/>
              </w:rPr>
            </w:pPr>
          </w:p>
        </w:tc>
      </w:tr>
      <w:tr w:rsidR="00075D31" w:rsidRPr="00075D31" w:rsidTr="00B400D4">
        <w:trPr>
          <w:trHeight w:hRule="exact" w:val="567"/>
        </w:trPr>
        <w:tc>
          <w:tcPr>
            <w:tcW w:w="157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075D31" w:rsidRPr="00131FEA" w:rsidRDefault="00075D31" w:rsidP="00EF6F9B">
            <w:pPr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it-IT"/>
              </w:rPr>
            </w:pPr>
            <w:r w:rsidRPr="00131FEA">
              <w:rPr>
                <w:rFonts w:ascii="Calibri" w:eastAsia="Arial Narrow" w:hAnsi="Calibri" w:cs="Times New Roman"/>
                <w:b/>
                <w:color w:val="000000"/>
                <w:sz w:val="28"/>
                <w:szCs w:val="28"/>
              </w:rPr>
              <w:t>Secondo biennio</w:t>
            </w:r>
          </w:p>
        </w:tc>
      </w:tr>
      <w:tr w:rsidR="00075D31" w:rsidRPr="00075D31" w:rsidTr="004C3C25">
        <w:trPr>
          <w:trHeight w:hRule="exact" w:val="454"/>
        </w:trPr>
        <w:tc>
          <w:tcPr>
            <w:tcW w:w="3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B400D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B400D4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7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075D31" w:rsidRPr="00075D31" w:rsidRDefault="00075D31" w:rsidP="00B400D4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075D31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075D31" w:rsidRPr="00B400D4" w:rsidTr="00B64F27">
        <w:trPr>
          <w:trHeight w:hRule="exact" w:val="6350"/>
        </w:trPr>
        <w:tc>
          <w:tcPr>
            <w:tcW w:w="379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Definire le caratteristiche territoriali, ambientali ed agro-produttive di una zona attraverso la utilizzazione di carte tematiche.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Collaborare nella realizzazione di carte d’uso del territorio.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1608C6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 xml:space="preserve">Interpretare gli aspetti della </w:t>
            </w:r>
          </w:p>
          <w:p w:rsidR="00075D31" w:rsidRPr="004C3C25" w:rsidRDefault="001608C6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mu</w:t>
            </w:r>
            <w:r w:rsidR="00075D31" w:rsidRPr="004C3C25">
              <w:rPr>
                <w:rFonts w:asciiTheme="majorHAnsi" w:eastAsia="Calibri" w:hAnsiTheme="majorHAnsi" w:cs="Arial"/>
                <w:sz w:val="24"/>
                <w:szCs w:val="24"/>
              </w:rPr>
              <w:t>ltifunzionalità individuati dalle politiche comunitarie ed articolare le provvidenze previste per i processi adattativi e migliorativi.</w:t>
            </w: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B400D4" w:rsidRPr="004C3C25" w:rsidRDefault="00B400D4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B400D4">
              <w:rPr>
                <w:rFonts w:asciiTheme="majorHAnsi" w:eastAsia="Calibri" w:hAnsiTheme="majorHAnsi" w:cs="Arial"/>
                <w:sz w:val="24"/>
                <w:szCs w:val="24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B400D4" w:rsidRPr="00B400D4" w:rsidRDefault="00B400D4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ind w:left="113" w:right="113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Concetto di paesaggio e lettura del territorio.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Tipi di unità paesaggistiche.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Analisi naturalistiche ed antropiche.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Analisi visive e percettivo culturali del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Ecologia del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Principi di pianificazione paesistica.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Sistemi ambientali e relativa pianificazione.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Reti ecologiche, sistemi agricoli e agro forestazione.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Eco- management e marketing ambientale.</w:t>
            </w:r>
          </w:p>
        </w:tc>
        <w:tc>
          <w:tcPr>
            <w:tcW w:w="7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Definire modalità specifiche per un approccio naturalistico-ecologico all'interpretazione del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Identificare procedure concrete per rilevare le unità di paesaggio.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Identificare modalità concrete per la definizione reti ecologiche e per la loro realizzazione.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Identificare ed attivare indicatori specifici per il rilevamento delle variazioni dei diversi aspetti dell'ambiente.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131FEA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 xml:space="preserve">Definire modalità per la descrizione degli assetti ambientali e la 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individuazione di indici di criticità.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Indicare i procedimenti idonei alla valorizzazione dei prodotti di gamma.</w:t>
            </w:r>
          </w:p>
          <w:p w:rsidR="00131FEA" w:rsidRPr="004C3C25" w:rsidRDefault="00131FEA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</w:p>
          <w:p w:rsidR="00075D31" w:rsidRPr="004C3C25" w:rsidRDefault="00075D31" w:rsidP="004C3C25">
            <w:pPr>
              <w:spacing w:after="0" w:line="240" w:lineRule="auto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4C3C25">
              <w:rPr>
                <w:rFonts w:asciiTheme="majorHAnsi" w:eastAsia="Calibri" w:hAnsiTheme="majorHAnsi" w:cs="Arial"/>
                <w:sz w:val="24"/>
                <w:szCs w:val="24"/>
              </w:rPr>
              <w:t>Schematizzare percorsi di trasparenza e tracciabilità riscontrando la normativa vigente.</w:t>
            </w:r>
          </w:p>
          <w:p w:rsidR="00075D31" w:rsidRPr="004C3C25" w:rsidRDefault="00075D31" w:rsidP="004C3C25">
            <w:pPr>
              <w:spacing w:line="240" w:lineRule="auto"/>
              <w:rPr>
                <w:rFonts w:asciiTheme="majorHAnsi" w:eastAsia="Calibri" w:hAnsiTheme="majorHAnsi" w:cs="Calibri"/>
                <w:sz w:val="24"/>
                <w:szCs w:val="24"/>
                <w:lang w:eastAsia="it-IT"/>
              </w:rPr>
            </w:pPr>
            <w:r w:rsidRPr="004C3C25">
              <w:rPr>
                <w:rFonts w:asciiTheme="majorHAnsi" w:eastAsia="Arial Narrow" w:hAnsiTheme="majorHAnsi" w:cs="Arial"/>
                <w:color w:val="000000"/>
                <w:sz w:val="24"/>
                <w:szCs w:val="24"/>
              </w:rPr>
              <w:t xml:space="preserve"> </w:t>
            </w:r>
          </w:p>
        </w:tc>
        <w:bookmarkStart w:id="0" w:name="_GoBack"/>
        <w:bookmarkEnd w:id="0"/>
      </w:tr>
      <w:tr w:rsidR="00AD27DE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737"/>
        </w:trPr>
        <w:tc>
          <w:tcPr>
            <w:tcW w:w="1985" w:type="dxa"/>
            <w:gridSpan w:val="2"/>
          </w:tcPr>
          <w:p w:rsidR="00AD27DE" w:rsidRPr="00AD27DE" w:rsidRDefault="00AD27DE" w:rsidP="00B400D4">
            <w:pPr>
              <w:rPr>
                <w:rFonts w:asciiTheme="majorHAnsi" w:hAnsiTheme="majorHAnsi"/>
                <w:b/>
              </w:rPr>
            </w:pPr>
            <w:r w:rsidRPr="00AD27DE">
              <w:rPr>
                <w:rFonts w:asciiTheme="majorHAnsi" w:hAnsiTheme="majorHAnsi"/>
                <w:b/>
              </w:rPr>
              <w:lastRenderedPageBreak/>
              <w:t>Orizzontalità</w:t>
            </w:r>
          </w:p>
          <w:p w:rsidR="00AD27DE" w:rsidRPr="00AD27DE" w:rsidRDefault="00AD27DE" w:rsidP="00B400D4">
            <w:pPr>
              <w:rPr>
                <w:rFonts w:asciiTheme="majorHAnsi" w:hAnsiTheme="majorHAnsi"/>
                <w:b/>
              </w:rPr>
            </w:pPr>
          </w:p>
          <w:p w:rsidR="00AD27DE" w:rsidRPr="00AD27DE" w:rsidRDefault="00AD27DE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AD27DE" w:rsidRPr="00AD27DE" w:rsidRDefault="00AD27DE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AD27DE" w:rsidRPr="00AD27DE" w:rsidRDefault="00AD27DE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6"/>
          </w:tcPr>
          <w:p w:rsidR="00AD27DE" w:rsidRPr="00F66A26" w:rsidRDefault="00AD27DE" w:rsidP="00B400D4">
            <w:pPr>
              <w:spacing w:after="0" w:line="240" w:lineRule="auto"/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  <w:r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 xml:space="preserve">Aziende agricole e agrituristiche - Mercati ortofrutticoli locali - Cooperative di produttori - Centri assistenza alle aziende agricole - Centro agroalimentare - Organizzazioni di produttori- Studi professionali agronomi - Camera di commercio - </w:t>
            </w:r>
            <w:r w:rsidR="001608C6"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>U</w:t>
            </w:r>
            <w:r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>ffici periferici  agricoltura degli enti pubblici</w:t>
            </w:r>
          </w:p>
        </w:tc>
      </w:tr>
      <w:tr w:rsidR="002E6D4F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510"/>
        </w:trPr>
        <w:tc>
          <w:tcPr>
            <w:tcW w:w="1985" w:type="dxa"/>
            <w:gridSpan w:val="2"/>
            <w:vAlign w:val="center"/>
          </w:tcPr>
          <w:p w:rsidR="002E6D4F" w:rsidRPr="00AD27DE" w:rsidRDefault="0077437A" w:rsidP="00B400D4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verticalità</w:t>
            </w: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2E6D4F" w:rsidRPr="00AD27DE" w:rsidRDefault="002E6D4F" w:rsidP="00B400D4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3740" w:type="dxa"/>
            <w:gridSpan w:val="6"/>
            <w:vAlign w:val="center"/>
          </w:tcPr>
          <w:p w:rsidR="0077437A" w:rsidRPr="00F66A26" w:rsidRDefault="0077437A" w:rsidP="00B400D4">
            <w:pPr>
              <w:rPr>
                <w:rFonts w:asciiTheme="majorHAnsi" w:hAnsiTheme="majorHAnsi"/>
              </w:rPr>
            </w:pPr>
            <w:r w:rsidRPr="00F66A26">
              <w:rPr>
                <w:rFonts w:asciiTheme="majorHAnsi" w:hAnsiTheme="majorHAnsi"/>
              </w:rPr>
              <w:t>Orientamento professionale in uscita e analisi piani di studio delle facoltà universitarie di ambito scientifico</w:t>
            </w:r>
          </w:p>
          <w:p w:rsidR="002E6D4F" w:rsidRPr="00F66A26" w:rsidRDefault="002E6D4F" w:rsidP="00B400D4">
            <w:pPr>
              <w:spacing w:after="0" w:line="240" w:lineRule="auto"/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</w:p>
        </w:tc>
      </w:tr>
      <w:tr w:rsidR="001608C6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737"/>
        </w:trPr>
        <w:tc>
          <w:tcPr>
            <w:tcW w:w="1991" w:type="dxa"/>
            <w:gridSpan w:val="3"/>
            <w:vAlign w:val="center"/>
          </w:tcPr>
          <w:p w:rsidR="0077437A" w:rsidRPr="00F66A26" w:rsidRDefault="0077437A" w:rsidP="00B400D4">
            <w:pPr>
              <w:rPr>
                <w:rFonts w:asciiTheme="majorHAnsi" w:hAnsiTheme="majorHAnsi"/>
                <w:b/>
              </w:rPr>
            </w:pPr>
            <w:r w:rsidRPr="00F66A26">
              <w:rPr>
                <w:rFonts w:asciiTheme="majorHAnsi" w:hAnsiTheme="majorHAnsi"/>
                <w:b/>
              </w:rPr>
              <w:t>Interdisciplinarietà</w:t>
            </w:r>
          </w:p>
          <w:p w:rsidR="001608C6" w:rsidRPr="00F66A26" w:rsidRDefault="001608C6" w:rsidP="00B400D4">
            <w:pPr>
              <w:rPr>
                <w:rFonts w:asciiTheme="majorHAnsi" w:hAnsiTheme="majorHAnsi"/>
              </w:rPr>
            </w:pPr>
          </w:p>
        </w:tc>
        <w:tc>
          <w:tcPr>
            <w:tcW w:w="13734" w:type="dxa"/>
            <w:gridSpan w:val="5"/>
            <w:vAlign w:val="center"/>
          </w:tcPr>
          <w:p w:rsidR="0077437A" w:rsidRPr="00F66A26" w:rsidRDefault="0077437A" w:rsidP="00B400D4">
            <w:pPr>
              <w:rPr>
                <w:rFonts w:asciiTheme="majorHAnsi" w:hAnsiTheme="majorHAnsi"/>
              </w:rPr>
            </w:pPr>
            <w:r w:rsidRPr="00F66A26">
              <w:rPr>
                <w:rFonts w:asciiTheme="majorHAnsi" w:eastAsia="Calibri" w:hAnsiTheme="majorHAnsi" w:cs="Calibri"/>
                <w:color w:val="000000"/>
                <w:lang w:eastAsia="it-IT"/>
              </w:rPr>
              <w:t>Valorizzazione delle attività produttive e legislazione di settore - Chimica applicata e processi di trasformazione- Tecniche di allevamento vegetale e animale Agronomia territoriale ed ecosistemi forestali - Sociologia rurale e storia dell’agricoltura.</w:t>
            </w:r>
          </w:p>
          <w:p w:rsidR="001608C6" w:rsidRPr="00F66A26" w:rsidRDefault="001608C6" w:rsidP="00B400D4">
            <w:pPr>
              <w:rPr>
                <w:rFonts w:asciiTheme="majorHAnsi" w:hAnsiTheme="majorHAnsi"/>
              </w:rPr>
            </w:pPr>
          </w:p>
        </w:tc>
      </w:tr>
      <w:tr w:rsidR="00147C49" w:rsidTr="00B40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737"/>
        </w:trPr>
        <w:tc>
          <w:tcPr>
            <w:tcW w:w="993" w:type="dxa"/>
            <w:vAlign w:val="center"/>
          </w:tcPr>
          <w:p w:rsidR="00147C49" w:rsidRPr="00AD27DE" w:rsidRDefault="0077437A" w:rsidP="00B400D4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BES</w:t>
            </w:r>
          </w:p>
        </w:tc>
        <w:tc>
          <w:tcPr>
            <w:tcW w:w="14732" w:type="dxa"/>
            <w:gridSpan w:val="7"/>
            <w:vAlign w:val="center"/>
          </w:tcPr>
          <w:p w:rsidR="00147C49" w:rsidRPr="00F66A26" w:rsidRDefault="0077437A" w:rsidP="00B400D4">
            <w:pPr>
              <w:rPr>
                <w:rFonts w:asciiTheme="majorHAnsi" w:eastAsia="Calibri" w:hAnsiTheme="majorHAnsi" w:cs="Calibri"/>
                <w:color w:val="000000"/>
                <w:lang w:eastAsia="it-IT"/>
              </w:rPr>
            </w:pPr>
            <w:r w:rsidRPr="00F66A26">
              <w:rPr>
                <w:rFonts w:asciiTheme="majorHAnsi" w:hAnsiTheme="majorHAnsi"/>
                <w:b/>
              </w:rPr>
              <w:t xml:space="preserve">Per gli alunni che rientrano nella categoria BES il curricolo tenderà a : - Valorizzare le capacità - Adattare la didattica - Calibrare i contenuti e gli obiettivi  </w:t>
            </w:r>
            <w:r w:rsidRPr="00F66A26">
              <w:rPr>
                <w:rFonts w:asciiTheme="majorHAnsi" w:eastAsia="Calibri" w:hAnsiTheme="majorHAnsi" w:cs="Calibri"/>
                <w:b/>
                <w:color w:val="000000"/>
                <w:lang w:eastAsia="it-IT"/>
              </w:rPr>
              <w:t xml:space="preserve"> Orizzontalità :  Teatro in lingua – Cinema -  Attività Laboratoriale</w:t>
            </w:r>
            <w:r w:rsidRPr="00F66A26">
              <w:rPr>
                <w:rFonts w:asciiTheme="majorHAnsi" w:hAnsiTheme="majorHAnsi"/>
                <w:b/>
              </w:rPr>
              <w:t xml:space="preserve">  </w:t>
            </w:r>
          </w:p>
        </w:tc>
      </w:tr>
    </w:tbl>
    <w:p w:rsidR="001608C6" w:rsidRDefault="001608C6"/>
    <w:p w:rsidR="00FF318E" w:rsidRDefault="00FF318E"/>
    <w:tbl>
      <w:tblPr>
        <w:tblStyle w:val="Grigliatabella"/>
        <w:tblW w:w="15735" w:type="dxa"/>
        <w:tblInd w:w="-34" w:type="dxa"/>
        <w:tblLook w:val="04A0"/>
      </w:tblPr>
      <w:tblGrid>
        <w:gridCol w:w="4537"/>
        <w:gridCol w:w="965"/>
        <w:gridCol w:w="2011"/>
        <w:gridCol w:w="3686"/>
        <w:gridCol w:w="4536"/>
      </w:tblGrid>
      <w:tr w:rsidR="007441FA" w:rsidRPr="009D2C48" w:rsidTr="00FF318E">
        <w:trPr>
          <w:trHeight w:val="567"/>
        </w:trPr>
        <w:tc>
          <w:tcPr>
            <w:tcW w:w="55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7441FA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441FA" w:rsidRPr="009D2C48" w:rsidRDefault="007441FA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441FA" w:rsidRPr="009D2C48" w:rsidRDefault="007441FA" w:rsidP="00131FEA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II BIENNIO </w:t>
            </w:r>
          </w:p>
        </w:tc>
      </w:tr>
      <w:tr w:rsidR="009D2C48" w:rsidRPr="009D2C48" w:rsidTr="00FF318E">
        <w:trPr>
          <w:trHeight w:val="567"/>
        </w:trPr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2C48" w:rsidRPr="00B64F27" w:rsidRDefault="009D2C48" w:rsidP="009D2C4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B64F27">
              <w:rPr>
                <w:rFonts w:ascii="Calibri" w:eastAsia="Calibri" w:hAnsi="Calibri" w:cs="Times New Roman"/>
                <w:sz w:val="24"/>
                <w:szCs w:val="24"/>
              </w:rPr>
              <w:t>Competenze di base in Scienze e Tecnologia</w:t>
            </w:r>
            <w:r w:rsidRPr="009D2C48">
              <w:rPr>
                <w:rFonts w:ascii="Calibri" w:eastAsia="Calibri" w:hAnsi="Calibri" w:cs="Times New Roman"/>
              </w:rPr>
              <w:t xml:space="preserve"> 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</w:t>
            </w:r>
            <w:r w:rsidRPr="00B64F27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acquisire e interpretare l’informazione/Individuare collegamenti e relazioni/Risolvere problemi)</w:t>
            </w:r>
          </w:p>
          <w:p w:rsidR="009D2C48" w:rsidRPr="009D2C48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D2C48" w:rsidRPr="009D2C48" w:rsidTr="00FF318E">
        <w:trPr>
          <w:trHeight w:val="567"/>
        </w:trPr>
        <w:tc>
          <w:tcPr>
            <w:tcW w:w="4537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2976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9D2C48" w:rsidRPr="009D2C48" w:rsidTr="00FF318E">
        <w:trPr>
          <w:trHeight w:hRule="exact" w:val="510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 xml:space="preserve">Identificare procedure per rilevare le unità di paesaggio  </w:t>
            </w: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>Preparare schede di rilevamento</w:t>
            </w:r>
          </w:p>
        </w:tc>
      </w:tr>
      <w:tr w:rsidR="009D2C48" w:rsidRPr="009D2C48" w:rsidTr="00FF318E">
        <w:trPr>
          <w:trHeight w:hRule="exact" w:val="907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Arial"/>
                <w:sz w:val="24"/>
                <w:szCs w:val="24"/>
              </w:rPr>
              <w:t>Riconosce nelle modifiche ambientali l’espressione delle attività antropiche</w:t>
            </w: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Arial"/>
                <w:i/>
                <w:sz w:val="24"/>
                <w:szCs w:val="24"/>
              </w:rPr>
              <w:t>Dall’analisi visiva ipotizzare i significativi passaggi evolutivi del  paesaggio (storico/sociale/</w:t>
            </w: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ambientale agrario ecc..) e con </w:t>
            </w:r>
            <w:r w:rsidRPr="00FF318E">
              <w:rPr>
                <w:rFonts w:ascii="Calibri" w:eastAsia="Calibri" w:hAnsi="Calibri" w:cs="Arial"/>
                <w:i/>
                <w:sz w:val="24"/>
                <w:szCs w:val="24"/>
              </w:rPr>
              <w:t>foto, descrizioni, osservazioni motivare le ipotesi.</w:t>
            </w:r>
          </w:p>
        </w:tc>
      </w:tr>
      <w:tr w:rsidR="009D2C48" w:rsidRPr="009D2C48" w:rsidTr="00FF318E">
        <w:trPr>
          <w:trHeight w:hRule="exact" w:val="1021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>Definire  le caratteristiche territoriali, ambientali, agro-produttive, sociali ecc.. di una zona attraverso l’uso di carte tematiche lettura visiva, raccolta ed  elaborazione di dati.</w:t>
            </w:r>
          </w:p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Utilizzare le conoscenze acquisite sul tema ambiente e con l’uso di  dati, schede, carte tematiche, foto internet  ecc. per produrre  un </w:t>
            </w:r>
            <w:r w:rsidRPr="00FF318E">
              <w:rPr>
                <w:rFonts w:ascii="Calibri" w:eastAsia="Calibri" w:hAnsi="Calibri" w:cs="Arial"/>
                <w:bCs/>
                <w:i/>
                <w:color w:val="252525"/>
                <w:sz w:val="24"/>
                <w:szCs w:val="24"/>
                <w:shd w:val="clear" w:color="auto" w:fill="FFFFFF"/>
              </w:rPr>
              <w:t>pamphlet</w:t>
            </w:r>
            <w:r w:rsidRPr="00FF318E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secondo  la vostra personale visione  </w:t>
            </w:r>
          </w:p>
        </w:tc>
      </w:tr>
      <w:tr w:rsidR="009D2C48" w:rsidRPr="009D2C48" w:rsidTr="00FF318E">
        <w:trPr>
          <w:trHeight w:hRule="exact" w:val="907"/>
        </w:trPr>
        <w:tc>
          <w:tcPr>
            <w:tcW w:w="7513" w:type="dxa"/>
            <w:gridSpan w:val="3"/>
            <w:vAlign w:val="center"/>
          </w:tcPr>
          <w:p w:rsidR="009D2C48" w:rsidRPr="00FF318E" w:rsidRDefault="009D2C48" w:rsidP="002E6D4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F318E">
              <w:rPr>
                <w:rFonts w:ascii="Calibri" w:eastAsia="Calibri" w:hAnsi="Calibri" w:cs="Times New Roman"/>
                <w:sz w:val="24"/>
                <w:szCs w:val="24"/>
              </w:rPr>
              <w:t>Pianificare l’uso del territorio secondo principi di sostenibilità, prevenzione e valorizzazione (dalle reti ecologiche ai piani  territoriali).</w:t>
            </w:r>
          </w:p>
        </w:tc>
        <w:tc>
          <w:tcPr>
            <w:tcW w:w="8222" w:type="dxa"/>
            <w:gridSpan w:val="2"/>
            <w:vAlign w:val="center"/>
          </w:tcPr>
          <w:p w:rsidR="009D2C48" w:rsidRPr="00FF318E" w:rsidRDefault="009D2C48" w:rsidP="002E6D4F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FF318E">
              <w:rPr>
                <w:rFonts w:ascii="Calibri" w:eastAsia="Calibri" w:hAnsi="Calibri" w:cs="Verdana"/>
                <w:i/>
                <w:sz w:val="24"/>
                <w:szCs w:val="24"/>
              </w:rPr>
              <w:t>Individuare azioni idonee alla valorizzazione del territorio e delle produzioni tipiche</w:t>
            </w:r>
          </w:p>
        </w:tc>
      </w:tr>
    </w:tbl>
    <w:p w:rsidR="00FB1D49" w:rsidRDefault="00FB1D49"/>
    <w:tbl>
      <w:tblPr>
        <w:tblStyle w:val="Grigliatabella1"/>
        <w:tblW w:w="15586" w:type="dxa"/>
        <w:tblInd w:w="108" w:type="dxa"/>
        <w:tblLook w:val="04A0"/>
      </w:tblPr>
      <w:tblGrid>
        <w:gridCol w:w="2942"/>
        <w:gridCol w:w="602"/>
        <w:gridCol w:w="2478"/>
        <w:gridCol w:w="3050"/>
        <w:gridCol w:w="3230"/>
        <w:gridCol w:w="3284"/>
      </w:tblGrid>
      <w:tr w:rsidR="009D2C48" w:rsidRPr="009D2C48" w:rsidTr="00E538B7">
        <w:tc>
          <w:tcPr>
            <w:tcW w:w="60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1608C6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48222D">
              <w:rPr>
                <w:b/>
              </w:rPr>
              <w:lastRenderedPageBreak/>
              <w:t xml:space="preserve">         </w:t>
            </w:r>
            <w:r w:rsidR="009D2C48" w:rsidRPr="009D2C48">
              <w:rPr>
                <w:rFonts w:ascii="Calibri" w:eastAsia="Calibri" w:hAnsi="Calibri" w:cs="Times New Roman"/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Scuola Sec. II grado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D2C48" w:rsidRPr="009D2C48" w:rsidRDefault="009D2C48" w:rsidP="00D864F5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II BIENNIO </w:t>
            </w:r>
          </w:p>
        </w:tc>
      </w:tr>
      <w:tr w:rsidR="009D2C48" w:rsidRPr="009D2C48" w:rsidTr="00E538B7">
        <w:tc>
          <w:tcPr>
            <w:tcW w:w="3544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Competenza chiave europea</w:t>
            </w:r>
          </w:p>
        </w:tc>
        <w:tc>
          <w:tcPr>
            <w:tcW w:w="12042" w:type="dxa"/>
            <w:gridSpan w:val="4"/>
          </w:tcPr>
          <w:p w:rsidR="009D2C48" w:rsidRPr="009D2C48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i/>
              </w:rPr>
            </w:pPr>
            <w:r w:rsidRPr="009D2C48">
              <w:rPr>
                <w:rFonts w:ascii="Calibri" w:eastAsia="Calibri" w:hAnsi="Calibri" w:cs="Times New Roman"/>
              </w:rPr>
              <w:t>Competenze di base in Scienze e Tecnologia (</w:t>
            </w:r>
            <w:r w:rsidRPr="009D2C48">
              <w:rPr>
                <w:rFonts w:ascii="Arial" w:eastAsia="Calibri" w:hAnsi="Arial" w:cs="Arial"/>
                <w:i/>
                <w:iCs/>
                <w:sz w:val="16"/>
                <w:szCs w:val="16"/>
              </w:rPr>
              <w:t xml:space="preserve"> acquisire e interpretare l’informazione/Individuare collegamenti e relazioni/Risolvere problemi)</w:t>
            </w:r>
            <w:r w:rsidRPr="009D2C48">
              <w:rPr>
                <w:rFonts w:ascii="Calibri" w:eastAsia="Calibri" w:hAnsi="Calibri" w:cs="Times New Roman"/>
                <w:b/>
                <w:i/>
              </w:rPr>
              <w:t xml:space="preserve"> </w:t>
            </w:r>
          </w:p>
        </w:tc>
      </w:tr>
      <w:tr w:rsidR="009D2C48" w:rsidRPr="009D2C48" w:rsidTr="00E538B7">
        <w:tc>
          <w:tcPr>
            <w:tcW w:w="15586" w:type="dxa"/>
            <w:gridSpan w:val="6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Livelli di padronanza</w:t>
            </w:r>
          </w:p>
        </w:tc>
      </w:tr>
      <w:tr w:rsidR="009D2C48" w:rsidRPr="009D2C48" w:rsidTr="00E538B7">
        <w:tc>
          <w:tcPr>
            <w:tcW w:w="2942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rPr>
                <w:rFonts w:ascii="Calibri" w:eastAsia="Calibri" w:hAnsi="Calibri" w:cs="Times New Roman"/>
                <w:b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i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i/>
                <w:sz w:val="28"/>
              </w:rPr>
              <w:t>3</w:t>
            </w:r>
          </w:p>
        </w:tc>
        <w:tc>
          <w:tcPr>
            <w:tcW w:w="3284" w:type="dxa"/>
            <w:shd w:val="clear" w:color="auto" w:fill="FDE9D9" w:themeFill="accent6" w:themeFillTint="33"/>
          </w:tcPr>
          <w:p w:rsidR="009D2C48" w:rsidRPr="009D2C48" w:rsidRDefault="009D2C48" w:rsidP="009D2C48">
            <w:pPr>
              <w:jc w:val="center"/>
              <w:rPr>
                <w:rFonts w:ascii="Calibri" w:eastAsia="Calibri" w:hAnsi="Calibri" w:cs="Times New Roman"/>
                <w:b/>
                <w:sz w:val="28"/>
              </w:rPr>
            </w:pPr>
            <w:r w:rsidRPr="009D2C48">
              <w:rPr>
                <w:rFonts w:ascii="Calibri" w:eastAsia="Calibri" w:hAnsi="Calibri" w:cs="Times New Roman"/>
                <w:b/>
                <w:sz w:val="28"/>
              </w:rPr>
              <w:t>4</w:t>
            </w:r>
          </w:p>
        </w:tc>
      </w:tr>
      <w:tr w:rsidR="009D2C48" w:rsidRPr="009D2C48" w:rsidTr="00E538B7">
        <w:trPr>
          <w:trHeight w:hRule="exact" w:val="1418"/>
        </w:trPr>
        <w:tc>
          <w:tcPr>
            <w:tcW w:w="2942" w:type="dxa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Conoscenze</w:t>
            </w:r>
            <w:r w:rsidRPr="00D864F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D864F5">
              <w:rPr>
                <w:rFonts w:ascii="Calibri" w:eastAsia="Calibri" w:hAnsi="Calibri" w:cs="Times New Roman"/>
                <w:sz w:val="24"/>
                <w:szCs w:val="24"/>
              </w:rPr>
              <w:t>Conoscenze g</w:t>
            </w:r>
            <w:r w:rsidRPr="00D864F5">
              <w:rPr>
                <w:rFonts w:ascii="Calibri" w:eastAsia="Calibri" w:hAnsi="Calibri" w:cs="Calibri"/>
                <w:sz w:val="24"/>
                <w:szCs w:val="24"/>
              </w:rPr>
              <w:t>enerale di base</w:t>
            </w:r>
          </w:p>
        </w:tc>
        <w:tc>
          <w:tcPr>
            <w:tcW w:w="305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Conoscenza pratica base in un ambito di lavoro o di studio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</w:tc>
        <w:tc>
          <w:tcPr>
            <w:tcW w:w="323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Conoscenza di fatti, principi, processi e concetti generali, in un ambito di lavoro o di studio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Conoscenza pratica e teorica in ampi contesti in un ambito di lavoro o di studio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</w:tr>
      <w:tr w:rsidR="009D2C48" w:rsidRPr="009D2C48" w:rsidTr="00610F34">
        <w:trPr>
          <w:trHeight w:hRule="exact" w:val="2155"/>
        </w:trPr>
        <w:tc>
          <w:tcPr>
            <w:tcW w:w="2942" w:type="dxa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Abilità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spacing w:before="24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Abilità di base necessarie a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svolgere mansioni/ compiti semplici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05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Abilità cognitive e pratiche di base necessarie all'uso di informazioni pertinenti per svolgere compiti e risolvere problemi ricorrenti usando strumenti e regole semplici</w:t>
            </w:r>
          </w:p>
        </w:tc>
        <w:tc>
          <w:tcPr>
            <w:tcW w:w="323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Una gamma di abilità cognitive e pratiche necessarie a svolgere compiti e risolvere problemi scegliendo e applicando metodi di base, strumenti, materiali ed informazioni.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Una gamma di abilità cognitive e pratiche necessarie a risolvere problemi specifici in un campo di lavoro o di studio.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</w:tr>
      <w:tr w:rsidR="009D2C48" w:rsidRPr="009D2C48" w:rsidTr="00E538B7">
        <w:trPr>
          <w:trHeight w:hRule="exact" w:val="2780"/>
        </w:trPr>
        <w:tc>
          <w:tcPr>
            <w:tcW w:w="2942" w:type="dxa"/>
            <w:vAlign w:val="center"/>
          </w:tcPr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-Bold"/>
                <w:b/>
                <w:bCs/>
                <w:sz w:val="24"/>
                <w:szCs w:val="24"/>
              </w:rPr>
              <w:t>Competenze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Lavoro o studio, sotto la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Arial Narrow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diretta supervisione, in un contesto strutturato</w:t>
            </w:r>
          </w:p>
          <w:p w:rsidR="009D2C48" w:rsidRPr="00D864F5" w:rsidRDefault="009D2C48" w:rsidP="009D2C4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05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Lavoro o studio, sotto la supervisione con una certo grado di autonomia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Assumere la responsabilità di portare a termine compiti nell'ambito del lavoro o dello studio.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Adeguare il proprio comportamento alle circostanze nella soluzione dei problemi.</w:t>
            </w:r>
          </w:p>
        </w:tc>
        <w:tc>
          <w:tcPr>
            <w:tcW w:w="3284" w:type="dxa"/>
            <w:vAlign w:val="center"/>
          </w:tcPr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Sapersi gestire autonomamente,</w:t>
            </w:r>
          </w:p>
          <w:p w:rsidR="009D2C48" w:rsidRPr="00D864F5" w:rsidRDefault="009D2C48" w:rsidP="009D2C48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4"/>
                <w:szCs w:val="24"/>
              </w:rPr>
            </w:pPr>
            <w:r w:rsidRPr="00D864F5">
              <w:rPr>
                <w:rFonts w:ascii="Calibri" w:eastAsia="Calibri" w:hAnsi="Calibri" w:cs="Calibri"/>
                <w:sz w:val="24"/>
                <w:szCs w:val="24"/>
              </w:rPr>
              <w:t>nel quadro di istruzioni in un contesto di lavoro o di studio, di solito prevedibili, ma soggetti a cambiamenti.                                                        Sorvegliare il lavoro di routine di altri, assumendo una certa responsabilità per la valutazione e il miglioramento di attività lavorative o di studio.</w:t>
            </w:r>
          </w:p>
          <w:p w:rsidR="009D2C48" w:rsidRPr="00D864F5" w:rsidRDefault="009D2C48" w:rsidP="009D2C48">
            <w:pPr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</w:p>
        </w:tc>
      </w:tr>
    </w:tbl>
    <w:p w:rsidR="009D2C48" w:rsidRDefault="009D2C48" w:rsidP="00075D31">
      <w:pPr>
        <w:ind w:left="-284" w:firstLine="284"/>
      </w:pPr>
    </w:p>
    <w:p w:rsidR="009D2C48" w:rsidRDefault="009D2C48" w:rsidP="00075D31">
      <w:pPr>
        <w:ind w:left="-284" w:firstLine="284"/>
      </w:pPr>
    </w:p>
    <w:sectPr w:rsidR="009D2C48" w:rsidSect="00075D31">
      <w:pgSz w:w="16838" w:h="11906" w:orient="landscape"/>
      <w:pgMar w:top="1134" w:right="1417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283"/>
  <w:characterSpacingControl w:val="doNotCompress"/>
  <w:compat/>
  <w:rsids>
    <w:rsidRoot w:val="00E6487F"/>
    <w:rsid w:val="00075D31"/>
    <w:rsid w:val="00131FEA"/>
    <w:rsid w:val="00145427"/>
    <w:rsid w:val="00147C49"/>
    <w:rsid w:val="00154271"/>
    <w:rsid w:val="001608C6"/>
    <w:rsid w:val="001B6114"/>
    <w:rsid w:val="0022449A"/>
    <w:rsid w:val="002A5C76"/>
    <w:rsid w:val="002E6D4F"/>
    <w:rsid w:val="00340857"/>
    <w:rsid w:val="003D20CE"/>
    <w:rsid w:val="0043703A"/>
    <w:rsid w:val="00480A39"/>
    <w:rsid w:val="0048222D"/>
    <w:rsid w:val="004C3C25"/>
    <w:rsid w:val="004D77AC"/>
    <w:rsid w:val="00610F34"/>
    <w:rsid w:val="00625C77"/>
    <w:rsid w:val="00714943"/>
    <w:rsid w:val="007441FA"/>
    <w:rsid w:val="0077437A"/>
    <w:rsid w:val="007D4FC6"/>
    <w:rsid w:val="007D5537"/>
    <w:rsid w:val="008860A4"/>
    <w:rsid w:val="008E149F"/>
    <w:rsid w:val="008E68BD"/>
    <w:rsid w:val="00954A6C"/>
    <w:rsid w:val="009B45FD"/>
    <w:rsid w:val="009D2C48"/>
    <w:rsid w:val="00A86A8D"/>
    <w:rsid w:val="00A935B3"/>
    <w:rsid w:val="00AA36A3"/>
    <w:rsid w:val="00AD27DE"/>
    <w:rsid w:val="00B400D4"/>
    <w:rsid w:val="00B64F27"/>
    <w:rsid w:val="00B80441"/>
    <w:rsid w:val="00C23B5D"/>
    <w:rsid w:val="00D864F5"/>
    <w:rsid w:val="00E538B7"/>
    <w:rsid w:val="00E6487F"/>
    <w:rsid w:val="00ED6971"/>
    <w:rsid w:val="00EF6F9B"/>
    <w:rsid w:val="00F66A26"/>
    <w:rsid w:val="00F67B84"/>
    <w:rsid w:val="00FB1D49"/>
    <w:rsid w:val="00FD4FCD"/>
    <w:rsid w:val="00FF3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9D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03812-E472-4417-8CEF-FB375CBA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Luciana</cp:lastModifiedBy>
  <cp:revision>2</cp:revision>
  <dcterms:created xsi:type="dcterms:W3CDTF">2016-11-03T18:57:00Z</dcterms:created>
  <dcterms:modified xsi:type="dcterms:W3CDTF">2016-11-03T18:57:00Z</dcterms:modified>
</cp:coreProperties>
</file>